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3171" w14:textId="77777777" w:rsidR="00987FCE" w:rsidRDefault="00582154">
      <w:pPr>
        <w:pStyle w:val="Heading3"/>
      </w:pPr>
      <w:bookmarkStart w:id="0" w:name="_w04bhp4sv5hg" w:colFirst="0" w:colLast="0"/>
      <w:bookmarkEnd w:id="0"/>
      <w:r>
        <w:t>Meeting Details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987FCE" w14:paraId="324970B5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A660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8120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March 8, 2022</w:t>
            </w:r>
          </w:p>
        </w:tc>
      </w:tr>
      <w:tr w:rsidR="00987FCE" w14:paraId="4DF87FDE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9F8D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CF39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4:00pm MT</w:t>
            </w:r>
          </w:p>
        </w:tc>
      </w:tr>
      <w:tr w:rsidR="00987FCE" w14:paraId="789E9142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5066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3059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School- Media Room</w:t>
            </w:r>
          </w:p>
        </w:tc>
      </w:tr>
      <w:tr w:rsidR="00987FCE" w14:paraId="225D440F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364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7B41" w14:textId="77777777" w:rsidR="00987FCE" w:rsidRDefault="00987FCE">
            <w:pPr>
              <w:widowControl w:val="0"/>
              <w:spacing w:line="240" w:lineRule="auto"/>
            </w:pPr>
          </w:p>
        </w:tc>
      </w:tr>
      <w:tr w:rsidR="00987FCE" w14:paraId="791C3573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A5F3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Absent Members: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4574" w14:textId="77777777" w:rsidR="00987FCE" w:rsidRDefault="00987FCE">
            <w:pPr>
              <w:widowControl w:val="0"/>
              <w:spacing w:line="240" w:lineRule="auto"/>
            </w:pPr>
          </w:p>
        </w:tc>
      </w:tr>
      <w:tr w:rsidR="00987FCE" w14:paraId="7B2574D5" w14:textId="77777777">
        <w:tc>
          <w:tcPr>
            <w:tcW w:w="22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7377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Minutes Taker: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6B47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Melanie Quinney</w:t>
            </w:r>
          </w:p>
        </w:tc>
      </w:tr>
    </w:tbl>
    <w:p w14:paraId="66FFFAC0" w14:textId="77777777" w:rsidR="00987FCE" w:rsidRDefault="00987FCE"/>
    <w:p w14:paraId="05437CD5" w14:textId="77777777" w:rsidR="00987FCE" w:rsidRDefault="00582154">
      <w:pPr>
        <w:pStyle w:val="Heading3"/>
      </w:pPr>
      <w:bookmarkStart w:id="1" w:name="_vkknx6xetkhw" w:colFirst="0" w:colLast="0"/>
      <w:bookmarkEnd w:id="1"/>
      <w:r>
        <w:t>Agenda Details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87FCE" w14:paraId="12904309" w14:textId="77777777">
        <w:tc>
          <w:tcPr>
            <w:tcW w:w="93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AC22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987FCE" w14:paraId="0E356A4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69F7" w14:textId="77777777" w:rsidR="00987FCE" w:rsidRDefault="00582154">
            <w:pPr>
              <w:widowControl w:val="0"/>
              <w:numPr>
                <w:ilvl w:val="0"/>
                <w:numId w:val="3"/>
              </w:numPr>
              <w:spacing w:before="240" w:line="240" w:lineRule="auto"/>
            </w:pPr>
            <w:r>
              <w:t xml:space="preserve">Welcome and Introductions </w:t>
            </w:r>
          </w:p>
          <w:p w14:paraId="17B5FD54" w14:textId="77777777" w:rsidR="00987FCE" w:rsidRDefault="0058215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Review of School Plans </w:t>
            </w:r>
            <w:proofErr w:type="spellStart"/>
            <w:proofErr w:type="gramStart"/>
            <w:r>
              <w:t>Landtrust</w:t>
            </w:r>
            <w:proofErr w:type="spellEnd"/>
            <w:r>
              <w:t>,  Title</w:t>
            </w:r>
            <w:proofErr w:type="gramEnd"/>
            <w:r>
              <w:t xml:space="preserve"> 1, TSSA </w:t>
            </w:r>
          </w:p>
          <w:p w14:paraId="3BC435C4" w14:textId="77777777" w:rsidR="00987FCE" w:rsidRDefault="00582154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Calendar items</w:t>
            </w:r>
            <w:r>
              <w:tab/>
            </w:r>
            <w:r>
              <w:tab/>
            </w:r>
          </w:p>
          <w:p w14:paraId="714F6728" w14:textId="77777777" w:rsidR="00987FCE" w:rsidRDefault="00582154">
            <w:pPr>
              <w:widowControl w:val="0"/>
              <w:numPr>
                <w:ilvl w:val="0"/>
                <w:numId w:val="3"/>
              </w:numPr>
              <w:spacing w:after="240" w:line="240" w:lineRule="auto"/>
            </w:pPr>
            <w:r>
              <w:t>Other discussion Items</w:t>
            </w:r>
          </w:p>
        </w:tc>
      </w:tr>
    </w:tbl>
    <w:p w14:paraId="323A4237" w14:textId="77777777" w:rsidR="00987FCE" w:rsidRDefault="00987FCE"/>
    <w:p w14:paraId="000B0277" w14:textId="77777777" w:rsidR="00987FCE" w:rsidRDefault="00582154">
      <w:pPr>
        <w:pStyle w:val="Heading3"/>
      </w:pPr>
      <w:bookmarkStart w:id="2" w:name="_1ldwqm49sxf7" w:colFirst="0" w:colLast="0"/>
      <w:bookmarkEnd w:id="2"/>
      <w:r>
        <w:t>Action Items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2835"/>
      </w:tblGrid>
      <w:tr w:rsidR="00987FCE" w14:paraId="604A78C5" w14:textId="77777777">
        <w:tc>
          <w:tcPr>
            <w:tcW w:w="65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3179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83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C92D" w14:textId="77777777" w:rsidR="00987FCE" w:rsidRDefault="00582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Assigned To</w:t>
            </w:r>
          </w:p>
        </w:tc>
      </w:tr>
      <w:tr w:rsidR="00987FCE" w14:paraId="0E1F8AFF" w14:textId="77777777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0AF7" w14:textId="77777777" w:rsidR="00987FCE" w:rsidRDefault="0098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60B2" w14:textId="77777777" w:rsidR="00987FCE" w:rsidRDefault="00987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24158D" w14:textId="77777777" w:rsidR="00987FCE" w:rsidRDefault="00987FCE">
      <w:pPr>
        <w:numPr>
          <w:ilvl w:val="3"/>
          <w:numId w:val="2"/>
        </w:numPr>
      </w:pPr>
    </w:p>
    <w:p w14:paraId="625BB5E9" w14:textId="77777777" w:rsidR="00987FCE" w:rsidRDefault="00582154">
      <w:r>
        <w:tab/>
      </w:r>
    </w:p>
    <w:p w14:paraId="735E96DD" w14:textId="77777777" w:rsidR="00987FCE" w:rsidRDefault="00582154">
      <w:pPr>
        <w:pStyle w:val="Heading3"/>
      </w:pPr>
      <w:bookmarkStart w:id="3" w:name="_cskmlwjf9ydv" w:colFirst="0" w:colLast="0"/>
      <w:bookmarkEnd w:id="3"/>
      <w:r>
        <w:t>Minutes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87FCE" w14:paraId="26EBDE05" w14:textId="77777777">
        <w:tc>
          <w:tcPr>
            <w:tcW w:w="93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9B8" w14:textId="77777777" w:rsidR="00987FCE" w:rsidRDefault="005821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987FCE" w14:paraId="44042E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125CE" w14:textId="77777777" w:rsidR="00987FCE" w:rsidRDefault="00987FCE">
            <w:pPr>
              <w:widowControl w:val="0"/>
              <w:numPr>
                <w:ilvl w:val="0"/>
                <w:numId w:val="1"/>
              </w:numPr>
              <w:spacing w:before="240" w:after="240" w:line="240" w:lineRule="auto"/>
            </w:pPr>
          </w:p>
        </w:tc>
      </w:tr>
    </w:tbl>
    <w:p w14:paraId="6F71DB80" w14:textId="77777777" w:rsidR="00987FCE" w:rsidRDefault="00987FCE"/>
    <w:p w14:paraId="7DFEA3EC" w14:textId="77777777" w:rsidR="00987FCE" w:rsidRDefault="00987FCE"/>
    <w:p w14:paraId="2CE3A0A1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>2021-2022 Plan</w:t>
      </w:r>
    </w:p>
    <w:p w14:paraId="3395F8C3" w14:textId="77777777" w:rsidR="00987FCE" w:rsidRDefault="00987FCE">
      <w:pPr>
        <w:rPr>
          <w:sz w:val="24"/>
          <w:szCs w:val="24"/>
        </w:rPr>
      </w:pPr>
    </w:p>
    <w:p w14:paraId="1B751421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 xml:space="preserve">We will be reviewing the following plan, </w:t>
      </w:r>
      <w:proofErr w:type="gramStart"/>
      <w:r>
        <w:rPr>
          <w:sz w:val="24"/>
          <w:szCs w:val="24"/>
        </w:rPr>
        <w:t>then  proposing</w:t>
      </w:r>
      <w:proofErr w:type="gramEnd"/>
      <w:r>
        <w:rPr>
          <w:sz w:val="24"/>
          <w:szCs w:val="24"/>
        </w:rPr>
        <w:t xml:space="preserve"> a new plan for the 2022-2023 school year</w:t>
      </w:r>
    </w:p>
    <w:p w14:paraId="7591EDCF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5D0466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Goal 1-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EB3F7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grades 1-3, at least 60% of students will make typical or better progress on the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Reading Test as measured from BOY to EOY. Grade </w:t>
      </w:r>
      <w:r>
        <w:rPr>
          <w:rFonts w:ascii="Georgia" w:eastAsia="Georgia" w:hAnsi="Georgia" w:cs="Georgia"/>
          <w:sz w:val="24"/>
          <w:szCs w:val="24"/>
        </w:rPr>
        <w:t>K will maintain the percentage of kids on or above level as measured from BOY to EOY. In grades, 4-6, 70 % of students will demonstrate growth through the PSI universal screener by showing proficiency in at least two additional phonics skill groups as comp</w:t>
      </w:r>
      <w:r>
        <w:rPr>
          <w:rFonts w:ascii="Georgia" w:eastAsia="Georgia" w:hAnsi="Georgia" w:cs="Georgia"/>
          <w:sz w:val="24"/>
          <w:szCs w:val="24"/>
        </w:rPr>
        <w:t xml:space="preserve">ared to the initial screening, or demonstrate mastery in reading multisyllabic words as measured from BOY to EOY through MSRC. </w:t>
      </w:r>
    </w:p>
    <w:p w14:paraId="60CAEEC2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436751F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Academic Areas-</w:t>
      </w:r>
      <w:r>
        <w:rPr>
          <w:sz w:val="24"/>
          <w:szCs w:val="24"/>
        </w:rPr>
        <w:t xml:space="preserve"> Reading</w:t>
      </w:r>
    </w:p>
    <w:p w14:paraId="18380EA4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965E07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Measurements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A21213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9C5371" w14:textId="77777777" w:rsidR="00987FCE" w:rsidRDefault="005821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will compare the beginning of the year (BOY)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Reading results to the End of the year (EOY)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Reading results for K-3. For 4-6th, we will give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as a screener to identify who is residing below grade level and then give the PSI to</w:t>
      </w:r>
      <w:r>
        <w:rPr>
          <w:rFonts w:ascii="Georgia" w:eastAsia="Georgia" w:hAnsi="Georgia" w:cs="Georgia"/>
          <w:sz w:val="24"/>
          <w:szCs w:val="24"/>
        </w:rPr>
        <w:t xml:space="preserve"> diagnose specific needs. We will compare BOY and EOY PSI universal screener results. </w:t>
      </w:r>
    </w:p>
    <w:p w14:paraId="743A0F82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71D8EC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9BC8C1" w14:textId="77777777" w:rsidR="00987FCE" w:rsidRDefault="00582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 Plan Steps-</w:t>
      </w:r>
    </w:p>
    <w:p w14:paraId="377140B2" w14:textId="77777777" w:rsidR="00987FCE" w:rsidRDefault="0058215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0ECBC96E" w14:textId="77777777" w:rsidR="00987FCE" w:rsidRDefault="0058215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3AFB2F7E" w14:textId="77777777" w:rsidR="00987FCE" w:rsidRDefault="005821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West Jordan Elementary will use Land Trust funds to hire part-time aides for K-6 grades to provide support with reading a</w:t>
      </w:r>
      <w:r>
        <w:rPr>
          <w:rFonts w:ascii="Georgia" w:eastAsia="Georgia" w:hAnsi="Georgia" w:cs="Georgia"/>
          <w:sz w:val="24"/>
          <w:szCs w:val="24"/>
        </w:rPr>
        <w:t>ssessments, instructions, and interventions under 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direction of certified teachers and instructional coaches.</w:t>
      </w:r>
    </w:p>
    <w:p w14:paraId="5159C6E5" w14:textId="77777777" w:rsidR="00987FCE" w:rsidRDefault="0058215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C301C06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1) Assess students’ reading proficiency by administering the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reading test at the Beginning of the year (BOY), Middle of the y</w:t>
      </w:r>
      <w:r>
        <w:rPr>
          <w:rFonts w:ascii="Georgia" w:eastAsia="Georgia" w:hAnsi="Georgia" w:cs="Georgia"/>
          <w:sz w:val="24"/>
          <w:szCs w:val="24"/>
        </w:rPr>
        <w:t>ear (MOY), and End of the year (EOY) in all grades K-6.</w:t>
      </w:r>
    </w:p>
    <w:p w14:paraId="5CB01467" w14:textId="77777777" w:rsidR="00987FCE" w:rsidRDefault="00582154">
      <w:pPr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6A0BA7EE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2) Give the PASI or the PSI to all students who score below or well below grade level on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>.</w:t>
      </w:r>
    </w:p>
    <w:p w14:paraId="5C36409B" w14:textId="77777777" w:rsidR="00987FCE" w:rsidRDefault="005821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3) Continue implementation of Heggerty Phonemic Awareness Curriculum and Multisyllabic Routi</w:t>
      </w:r>
      <w:r>
        <w:rPr>
          <w:rFonts w:ascii="Georgia" w:eastAsia="Georgia" w:hAnsi="Georgia" w:cs="Georgia"/>
          <w:sz w:val="24"/>
          <w:szCs w:val="24"/>
        </w:rPr>
        <w:t>ne Cards (Tier 1) reading program.</w:t>
      </w:r>
    </w:p>
    <w:p w14:paraId="285970C6" w14:textId="77777777" w:rsidR="00987FCE" w:rsidRDefault="00987FCE">
      <w:pPr>
        <w:rPr>
          <w:rFonts w:ascii="Georgia" w:eastAsia="Georgia" w:hAnsi="Georgia" w:cs="Georgia"/>
          <w:sz w:val="24"/>
          <w:szCs w:val="24"/>
        </w:rPr>
      </w:pPr>
    </w:p>
    <w:p w14:paraId="0A481614" w14:textId="77777777" w:rsidR="00987FCE" w:rsidRDefault="005821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4) Continue implementation of 95% Group (Tier 2 and 3) reading program for students who are identified to be not proficient in the area of reading as measured by </w:t>
      </w:r>
      <w:proofErr w:type="spellStart"/>
      <w:r>
        <w:rPr>
          <w:rFonts w:ascii="Georgia" w:eastAsia="Georgia" w:hAnsi="Georgia" w:cs="Georgia"/>
          <w:sz w:val="24"/>
          <w:szCs w:val="24"/>
        </w:rPr>
        <w:t>Acadience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testing. Aides will do interventions with studen</w:t>
      </w:r>
      <w:r>
        <w:rPr>
          <w:rFonts w:ascii="Georgia" w:eastAsia="Georgia" w:hAnsi="Georgia" w:cs="Georgia"/>
          <w:sz w:val="24"/>
          <w:szCs w:val="24"/>
        </w:rPr>
        <w:t>ts under the direction of classroom teachers and our literacy coach.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0A83AEF2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5) Teachers will group students according to instructional needs and monitor these groups on a regular basis for growth.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78DB3DCC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6) Provide professional development to teachers and aides as needed to continue the implementation of district identified reading curriculum and intervention programs.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7) Collaborate with grade-level teachers, instructional coaches, and administrators i</w:t>
      </w:r>
      <w:r>
        <w:rPr>
          <w:rFonts w:ascii="Georgia" w:eastAsia="Georgia" w:hAnsi="Georgia" w:cs="Georgia"/>
          <w:sz w:val="24"/>
          <w:szCs w:val="24"/>
        </w:rPr>
        <w:t>n the Professional Learning Community meetings to discuss students’ growth and possible response to intervention strategies.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0DDEAAAE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8) Use other supplemental curriculum resources like Lexia, IXL, etc. to assist students to improve reading skills.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32469A85" w14:textId="77777777" w:rsidR="00987FCE" w:rsidRDefault="00582154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9) U</w:t>
      </w:r>
      <w:r>
        <w:rPr>
          <w:rFonts w:ascii="Georgia" w:eastAsia="Georgia" w:hAnsi="Georgia" w:cs="Georgia"/>
          <w:sz w:val="24"/>
          <w:szCs w:val="24"/>
        </w:rPr>
        <w:t xml:space="preserve">se other formative and curriculum-based assessments to identify at-risk students as needed.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59A2BAD4" w14:textId="77777777" w:rsidR="00987FCE" w:rsidRDefault="00582154">
      <w:pPr>
        <w:ind w:left="72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color w:val="FF0000"/>
          <w:sz w:val="24"/>
          <w:szCs w:val="24"/>
        </w:rPr>
        <w:t xml:space="preserve"> </w:t>
      </w:r>
    </w:p>
    <w:p w14:paraId="52E6410A" w14:textId="77777777" w:rsidR="00987FCE" w:rsidRDefault="00582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Expenditures-</w:t>
      </w:r>
    </w:p>
    <w:p w14:paraId="6659F74B" w14:textId="77777777" w:rsidR="00987FCE" w:rsidRDefault="00987FCE">
      <w:pPr>
        <w:rPr>
          <w:b/>
          <w:sz w:val="24"/>
          <w:szCs w:val="24"/>
        </w:rPr>
      </w:pPr>
    </w:p>
    <w:p w14:paraId="2470F035" w14:textId="77777777" w:rsidR="00987FCE" w:rsidRDefault="00582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$63, </w:t>
      </w:r>
      <w:proofErr w:type="gramStart"/>
      <w:r>
        <w:rPr>
          <w:b/>
          <w:sz w:val="24"/>
          <w:szCs w:val="24"/>
        </w:rPr>
        <w:t>650  in</w:t>
      </w:r>
      <w:proofErr w:type="gramEnd"/>
      <w:r>
        <w:rPr>
          <w:b/>
          <w:sz w:val="24"/>
          <w:szCs w:val="24"/>
        </w:rPr>
        <w:t xml:space="preserve"> available funds, including a carryover from 2020-2021</w:t>
      </w:r>
    </w:p>
    <w:p w14:paraId="1BBBF3AD" w14:textId="77777777" w:rsidR="00987FCE" w:rsidRDefault="005821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800632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Category-</w:t>
      </w:r>
      <w:r>
        <w:rPr>
          <w:sz w:val="24"/>
          <w:szCs w:val="24"/>
        </w:rPr>
        <w:t xml:space="preserve"> Salaries and Employee Benefits</w:t>
      </w:r>
    </w:p>
    <w:p w14:paraId="0E7A778C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Description-</w:t>
      </w:r>
      <w:r>
        <w:rPr>
          <w:sz w:val="24"/>
          <w:szCs w:val="24"/>
        </w:rPr>
        <w:t xml:space="preserve"> Reading Aides, a portion of 2 Kindergarten </w:t>
      </w:r>
      <w:proofErr w:type="gramStart"/>
      <w:r>
        <w:rPr>
          <w:sz w:val="24"/>
          <w:szCs w:val="24"/>
        </w:rPr>
        <w:t>Aides,  grade</w:t>
      </w:r>
      <w:proofErr w:type="gramEnd"/>
      <w:r>
        <w:rPr>
          <w:sz w:val="24"/>
          <w:szCs w:val="24"/>
        </w:rPr>
        <w:t xml:space="preserve"> level aides (1-3), </w:t>
      </w:r>
    </w:p>
    <w:p w14:paraId="0B48DF00" w14:textId="77777777" w:rsidR="00987FCE" w:rsidRDefault="00987FCE">
      <w:pPr>
        <w:rPr>
          <w:sz w:val="24"/>
          <w:szCs w:val="24"/>
        </w:rPr>
      </w:pPr>
    </w:p>
    <w:p w14:paraId="059FABC4" w14:textId="77777777" w:rsidR="00987FCE" w:rsidRDefault="00582154">
      <w:pPr>
        <w:rPr>
          <w:sz w:val="24"/>
          <w:szCs w:val="24"/>
        </w:rPr>
      </w:pPr>
      <w:r>
        <w:rPr>
          <w:b/>
          <w:sz w:val="24"/>
          <w:szCs w:val="24"/>
        </w:rPr>
        <w:t>Estimated Cost</w:t>
      </w:r>
      <w:r>
        <w:rPr>
          <w:sz w:val="24"/>
          <w:szCs w:val="24"/>
        </w:rPr>
        <w:t>- $63, 000</w:t>
      </w:r>
    </w:p>
    <w:p w14:paraId="598D2A7C" w14:textId="77777777" w:rsidR="00987FCE" w:rsidRDefault="00987FCE">
      <w:pPr>
        <w:rPr>
          <w:sz w:val="24"/>
          <w:szCs w:val="24"/>
        </w:rPr>
      </w:pPr>
    </w:p>
    <w:p w14:paraId="17A3BE4D" w14:textId="77777777" w:rsidR="00987FCE" w:rsidRDefault="00987FCE">
      <w:pPr>
        <w:rPr>
          <w:sz w:val="24"/>
          <w:szCs w:val="24"/>
        </w:rPr>
      </w:pPr>
    </w:p>
    <w:p w14:paraId="7FC84EFC" w14:textId="77777777" w:rsidR="00987FCE" w:rsidRDefault="00987FCE"/>
    <w:sectPr w:rsidR="00987F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372A" w14:textId="77777777" w:rsidR="00582154" w:rsidRDefault="00582154">
      <w:pPr>
        <w:spacing w:line="240" w:lineRule="auto"/>
      </w:pPr>
      <w:r>
        <w:separator/>
      </w:r>
    </w:p>
  </w:endnote>
  <w:endnote w:type="continuationSeparator" w:id="0">
    <w:p w14:paraId="2EB02958" w14:textId="77777777" w:rsidR="00582154" w:rsidRDefault="00582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44EC" w14:textId="77777777" w:rsidR="00987FCE" w:rsidRDefault="00987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C79B" w14:textId="77777777" w:rsidR="00582154" w:rsidRDefault="00582154">
      <w:pPr>
        <w:spacing w:line="240" w:lineRule="auto"/>
      </w:pPr>
      <w:r>
        <w:separator/>
      </w:r>
    </w:p>
  </w:footnote>
  <w:footnote w:type="continuationSeparator" w:id="0">
    <w:p w14:paraId="7876E541" w14:textId="77777777" w:rsidR="00582154" w:rsidRDefault="00582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7314" w14:textId="77777777" w:rsidR="00987FCE" w:rsidRDefault="00582154">
    <w:pPr>
      <w:pStyle w:val="Title"/>
      <w:jc w:val="center"/>
    </w:pPr>
    <w:bookmarkStart w:id="4" w:name="_h8rznikn11dh" w:colFirst="0" w:colLast="0"/>
    <w:bookmarkEnd w:id="4"/>
    <w:r>
      <w:t>WEST JORDAN ELEMENTARY</w:t>
    </w:r>
  </w:p>
  <w:p w14:paraId="13F38BA7" w14:textId="77777777" w:rsidR="00987FCE" w:rsidRDefault="00582154">
    <w:pPr>
      <w:pStyle w:val="Subtitle"/>
      <w:jc w:val="center"/>
    </w:pPr>
    <w:bookmarkStart w:id="5" w:name="_y82pkjirhu6r" w:colFirst="0" w:colLast="0"/>
    <w:bookmarkEnd w:id="5"/>
    <w:r>
      <w:t>School Community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C51"/>
    <w:multiLevelType w:val="multilevel"/>
    <w:tmpl w:val="26341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6115E9"/>
    <w:multiLevelType w:val="multilevel"/>
    <w:tmpl w:val="9E9C4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F479D"/>
    <w:multiLevelType w:val="multilevel"/>
    <w:tmpl w:val="2820B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CE"/>
    <w:rsid w:val="00554219"/>
    <w:rsid w:val="00582154"/>
    <w:rsid w:val="009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EFA22"/>
  <w15:docId w15:val="{2639BE67-AC91-2D4C-BAE2-20E2449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2022-03-03T18:55:00Z</dcterms:created>
  <dcterms:modified xsi:type="dcterms:W3CDTF">2022-03-03T18:55:00Z</dcterms:modified>
</cp:coreProperties>
</file>